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edc0061e34f04587"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36766</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OPĆINA DONJI ANDRIJEVCI</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23</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VI 2026.</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2.222.385,86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1.642.288,22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73,9</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1.044.515,42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1.449.355,13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138,8</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1.177.870,44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192.933,09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16,4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259,32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1.961,93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756,6</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1.387.703,09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610.959,14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1.387.443,77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608.997,21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43,9</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347.000,00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595.556,93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171,6</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241.168,23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48,2</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PRIMITAKA OD FINANCIJSKE IMOVINE I ZADUŽIVANJA (šifre 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354.388,70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362.573,33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61.675,42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17,0</w:t>
            </w:r>
          </w:p>
        </w:tc>
      </w:tr>
    </w:tbl>
    <w:p>
      <w:pPr>
        <w:spacing w:before="0" w:after="0"/>
      </w:pPr>
    </w:p>
    <w:p>
      <w:r>
        <w:t xml:space="preserve">Konsolidirani izvještaj Općine Donji Andrijevci, je zajednički izvještaj općine i njenog proračunskog korisnika Dječjeg vrtića Vila Zvončica. Ostvareni zajednički manjak prihoda i primitaka iznosi 61.675,42 eura</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2.222.385,86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1.642.288,22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73,9</w:t>
            </w:r>
          </w:p>
        </w:tc>
      </w:tr>
    </w:tbl>
    <w:p>
      <w:pPr>
        <w:spacing w:before="0" w:after="0"/>
      </w:pPr>
    </w:p>
    <w:p>
      <w:r>
        <w:t xml:space="preserve">Znatno smanjenje prihoda poslovanja u odnosu na referentnu godinu, radi završenih EU projekata i izostanka sredstava za te namjene.</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proračunu i izvanproračunskim korisnicima iz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78.409,91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174,2</w:t>
            </w:r>
          </w:p>
        </w:tc>
      </w:tr>
    </w:tbl>
    <w:p>
      <w:pPr>
        <w:spacing w:before="0" w:after="0"/>
      </w:pPr>
    </w:p>
    <w:p>
      <w:r>
        <w:t xml:space="preserve">U ovom ostvarenju nalazi se prihod Min. reg.razvoja: 30.000,00 za mrtvačnicu u Novom Topolju, te 48.409,91 za vrtić.</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proračunskim korisnicima iz proračuna koji im nije nadležan (šifre 6361+6362)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97.568,84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Ovo je u cijelosti prihod proračunskog korisnika vrtića Vila Zvončica a odnosi se na prihode pomoću uplaćene od strane ostalih općina-osnivača. a za rad vrtića, prema sporazumu. Ostvarenje 97.568,84 eura.</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temeljem prijenosa EU sredstava (šifre 6381+6382)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1.144.668,22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446.546,45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39,0</w:t>
            </w:r>
          </w:p>
        </w:tc>
      </w:tr>
    </w:tbl>
    <w:p>
      <w:pPr>
        <w:spacing w:before="0" w:after="0"/>
      </w:pPr>
    </w:p>
    <w:p>
      <w:r>
        <w:t xml:space="preserve">Smanjenje ostvarenja  u ovoj godini radi  projekta pred završetkom započetih u ranijim godinama -Indeks 39,0</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42.183,90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143.462,99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340,1</w:t>
            </w:r>
          </w:p>
        </w:tc>
      </w:tr>
    </w:tbl>
    <w:p>
      <w:pPr>
        <w:spacing w:before="0" w:after="0"/>
      </w:pPr>
    </w:p>
    <w:p>
      <w:r>
        <w:t xml:space="preserve">Povećano ostvarenje radi uplaćenih sredstava ZNS ova projekta Zaželi. Indeks 340,1</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1.102.484,32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303.083,46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27,5</w:t>
            </w:r>
          </w:p>
        </w:tc>
      </w:tr>
    </w:tbl>
    <w:p>
      <w:pPr>
        <w:spacing w:before="0" w:after="0"/>
      </w:pPr>
    </w:p>
    <w:p>
      <w:r>
        <w:t xml:space="preserve">Smanjenje radi završetka projekata započetih  u ranijim godinama (pješačke staze, šumski putevi..)</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Naknada za korištenje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7.085,70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27.803,94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392,4</w:t>
            </w:r>
          </w:p>
        </w:tc>
      </w:tr>
    </w:tbl>
    <w:p>
      <w:pPr>
        <w:spacing w:before="0" w:after="0"/>
      </w:pPr>
    </w:p>
    <w:p>
      <w:r>
        <w:t xml:space="preserve">Ostvarenje se odnosi na naknadno doznačena sredstva  HT za naknadu za pravo služnosti za ranije godine. Indeks 392,4</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nespomenuti prihodi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54.885,09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Doznačena sredstva za naknade šte od osiguravajućih društava.  Također su uvdje evidentirane uplate od roditelje za sufinaciranje boravka u vrtiću, što je prihod proračunskog korisnika.</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1.044.515,42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1.449.355,13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138,8</w:t>
            </w:r>
          </w:p>
        </w:tc>
      </w:tr>
    </w:tbl>
    <w:p>
      <w:pPr>
        <w:spacing w:before="0" w:after="0"/>
      </w:pPr>
    </w:p>
    <w:p>
      <w:r>
        <w:t xml:space="preserve">Ostvarenje ovog razdoblja veće je u odnosu na prethodnu godinu, radi izdvajanja sredstava za rad proračunskog korisnika, Dječjeg vrtića Vila Zvončica. </w:t>
      </w:r>
    </w:p>
    <w:p>
      <w:r>
        <w:t xml:space="preserve">Unutar ove grupe rashoda nalaze se uz općinske i svi ebidentirani  troškovi proračunskog korisnika.</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Zakupnine i najamnine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10.531,54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27.760,23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263,6</w:t>
            </w:r>
          </w:p>
        </w:tc>
      </w:tr>
    </w:tbl>
    <w:p>
      <w:pPr>
        <w:spacing w:before="0" w:after="0"/>
      </w:pPr>
    </w:p>
    <w:p>
      <w:r>
        <w:t xml:space="preserve">Ostvarenje indeks 263,6 , radi povećanja troškova najma vozila za potrebe općine</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za rad predstavničkih i izvršnih tijela, povjerenstava i slično</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25.584,70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21.246,50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83,0</w:t>
            </w:r>
          </w:p>
        </w:tc>
      </w:tr>
    </w:tbl>
    <w:p>
      <w:pPr>
        <w:spacing w:before="0" w:after="0"/>
      </w:pPr>
    </w:p>
    <w:p>
      <w:r>
        <w:t xml:space="preserve">Ostvarenje bilježi samo troškove isplata naknada za rad općinskih vijećnika, u odnosu na 2025.g kada su u ostvarenju bile i naknade za održane izbore, te troškove za naknade za rad upravnog vijeća proračunskog korisnika</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3721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građanima i kućanstvima u novcu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3721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46.764,43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120.421,36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257,5</w:t>
            </w:r>
          </w:p>
        </w:tc>
      </w:tr>
    </w:tbl>
    <w:p>
      <w:pPr>
        <w:spacing w:before="0" w:after="0"/>
      </w:pPr>
    </w:p>
    <w:p>
      <w:r>
        <w:t xml:space="preserve">Povećano ostvarenje ove stavke, radi isplate naknade štete iz prethodne godine a za koju su sredstva pristigla krajem 2025.g. Indeks 257,5</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Poslovni objekti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558.490,19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Ostvarenje u ovo godini je 00,0 eura jer je projekt izgradnje vrtića završen u 2025.g.</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građevinski objekti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59.667,78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106.341,54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178,2</w:t>
            </w:r>
          </w:p>
        </w:tc>
      </w:tr>
    </w:tbl>
    <w:p>
      <w:pPr>
        <w:spacing w:before="0" w:after="0"/>
      </w:pPr>
    </w:p>
    <w:p>
      <w:r>
        <w:t xml:space="preserve">Ostvarenje ove stavke sadrži privremene situacije izgradnje mrtvačnice u Novom Topolju, te ograde na dj. igralištu u Starom Topolju.</w:t>
      </w:r>
    </w:p>
    <w:p>
      <w:r>
        <w:t xml:space="preserve"> </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844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Primljeni krediti i zajmovi od kreditnih i ostalih financijskih institucija izvan javnog sektora (šifre 8443 do 8448)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844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595.556,93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180,5</w:t>
            </w:r>
          </w:p>
        </w:tc>
      </w:tr>
    </w:tbl>
    <w:p>
      <w:pPr>
        <w:spacing w:before="0" w:after="0"/>
      </w:pPr>
    </w:p>
    <w:p>
      <w:r>
        <w:t xml:space="preserve">Evidentirani primici kratkoročnog zaudženja općine, te korištenje dopuštenog prekoračenja na kraju kvartala.</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dane zajmove trgovačkim društvima u javnom sektoru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Dana kratkoročna pozajmica komunalnom društvu iz nadležnosti.</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Otplata glavnice primljenih kredita od tuzemnih kreditnih institucija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239.968,23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Otplata  dopuštenog prekoračenja na kvartalima u 2026.g.</w:t>
      </w:r>
    </w:p>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Manjak prihoda i primitaka za pokriće u sljedećem razdoblju (šifre Y005 + '9222-9221' - X005 - '9221-9222'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Y006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64.552,09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297.870,24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461,4</w:t>
            </w:r>
          </w:p>
        </w:tc>
      </w:tr>
    </w:tbl>
    <w:p>
      <w:pPr>
        <w:spacing w:before="0" w:after="0"/>
      </w:pPr>
    </w:p>
    <w:p>
      <w:r>
        <w:t xml:space="preserve">Ostvareni veći ukupni manjak prihoda, radi slabijeg priljeva sredstava u općinski proračun,a radi poštovanja obveza prema dobavljačima.</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25.282,00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Stanje dospjelih obveza u iznosu od 25.282,00 eura nastalo je zbog slabijeg priljeva poreznih prihoda slijedom povrata poreza na dohodak po godišnjim prijavama. Budući da je početkom srpnja povrat poreza gotovo završen općina podmiruje svoje obveze. Proračunski korisnik nije imao dospjelih obveza  na dan 30.6.2026.</w:t>
      </w:r>
    </w:p>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nedospjelih obveza na kraju izvještajnog razdoblja (šifre V010 + ND23 + ND24 + 'ND dio 25,26' + ND27)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1.278.988,96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Nedospjele obveze na dan 30.6.2026. sadrže plaće za zaposlene za mjesec lipanj 2026, režijske troškove, jamčevine, nedospjelu glavnicu kratkoročnog zaduženja te obvezu povrata iznosa dozvoljenog prekoračenja. Također i sadrže plaće korisnika  za lipanj 2026.g. te režijske troškove.</w:t>
      </w:r>
    </w:p>
    <w:p/>
    <w:p>
      <w:pPr>
        <w:jc w:val="center"/>
        <w:pStyle w:val="Normal"/>
        <w:spacing w:line="240" w:lineRule="auto"/>
        <w:keepNext/>
      </w:pPr>
      <w:r>
        <w:rPr>
          <w:sz w:val="28"/>
          <w:rFonts w:ascii="Times New Roman" w:hAnsi="Times New Roman"/>
        </w:rPr>
        <w:t xml:space="preserve">Bilješka 22.</w:t>
      </w:r>
    </w:p>
    <w:p>
      <w:pPr>
        <w:jc w:val="both"/>
        <w:pStyle w:val="Normal"/>
        <w:spacing w:line="240" w:lineRule="auto"/>
      </w:pPr>
      <w:r>
        <w:rPr>
          <w:b/>
          <w:sz w:val="24"/>
          <w:rFonts w:ascii="Times New Roman" w:hAnsi="Times New Roman"/>
        </w:rPr>
        <w:t xml:space="preserve">Unutargrupne transakcije koje su u izvještajima eliminirane</w:t>
      </w:r>
    </w:p>
    <w:p>
      <w:r>
        <w:t xml:space="preserve">Unutargrupne transakcije koje su eliminirane u ovom izvještaju su transakcije konta 367/671, prijenosi sredstava proračunskom korisniku i prihod iz nadležnog proračuna kod proračunskog korisnika.</w:t>
      </w:r>
    </w:p>
    <w:p/>
    <w:p>
      <w:pPr>
        <w:jc w:val="center"/>
        <w:pStyle w:val="Normal"/>
        <w:spacing w:line="240" w:lineRule="auto"/>
        <w:keepNext/>
      </w:pPr>
      <w:r>
        <w:rPr>
          <w:sz w:val="28"/>
          <w:rFonts w:ascii="Times New Roman" w:hAnsi="Times New Roman"/>
        </w:rPr>
        <w:t xml:space="preserve">Bilješka 23.</w:t>
      </w:r>
    </w:p>
    <w:p>
      <w:pPr>
        <w:jc w:val="both"/>
        <w:pStyle w:val="Normal"/>
        <w:spacing w:line="240" w:lineRule="auto"/>
      </w:pPr>
      <w:r>
        <w:rPr>
          <w:b/>
          <w:sz w:val="24"/>
          <w:rFonts w:ascii="Times New Roman" w:hAnsi="Times New Roman"/>
        </w:rPr>
        <w:t xml:space="preserve">Manjak ili višak u poslovanju grupe i pregled strukture manjka/viška po proračunskim korisnicima </w:t>
      </w:r>
    </w:p>
    <w:p>
      <w:r>
        <w:t xml:space="preserve">Manjak koji je ostavrenu ovom razdoblju:</w:t>
      </w:r>
    </w:p>
    <w:p>
      <w:r>
        <w:t xml:space="preserve"> </w:t>
      </w:r>
    </w:p>
    <w:p>
      <w:r>
        <w:t xml:space="preserve">Manjak Dječjeg Vrtića Vila Zvončica: 31.062,48 eura</w:t>
      </w:r>
    </w:p>
    <w:p>
      <w:r>
        <w:t xml:space="preserve">Općina Donji Andrijevci:  30.612,94 eura</w:t>
      </w:r>
    </w:p>
    <w:p>
      <w:r>
        <w:t xml:space="preserve"> </w:t>
      </w:r>
    </w:p>
    <w:p>
      <w:r>
        <w:t xml:space="preserve">Ukupno manjak: 61.675,42</w:t>
      </w:r>
    </w:p>
    <w:p/>
  </w:body>
</w:document>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s>
</file>

<file path=word/_rels/document.xml.rels>&#65279;<?xml version="1.0" encoding="utf-8"?><Relationships xmlns="http://schemas.openxmlformats.org/package/2006/relationships"><Relationship Type="http://schemas.openxmlformats.org/officeDocument/2006/relationships/styles" Target="/word/styles.xml" Id="R8fd7fffbc0c745c2" /></Relationships>
</file>